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8B885" w14:textId="7C3985AE" w:rsidR="00A41745" w:rsidRDefault="00000000">
      <w:pPr>
        <w:tabs>
          <w:tab w:val="right" w:pos="9638"/>
        </w:tabs>
        <w:spacing w:after="0"/>
        <w:ind w:left="0" w:hanging="2"/>
        <w:rPr>
          <w:rFonts w:ascii="Arial" w:eastAsia="Arial" w:hAnsi="Arial" w:cs="Arial"/>
          <w:sz w:val="24"/>
          <w:szCs w:val="24"/>
        </w:rPr>
      </w:pPr>
      <w:bookmarkStart w:id="0" w:name="_heading=h.gjdgxs" w:colFirst="0" w:colLast="0"/>
      <w:bookmarkEnd w:id="0"/>
      <w:r>
        <w:rPr>
          <w:rFonts w:ascii="Arial" w:eastAsia="Arial" w:hAnsi="Arial" w:cs="Arial"/>
          <w:b/>
          <w:sz w:val="24"/>
          <w:szCs w:val="24"/>
        </w:rPr>
        <w:t>SA WG2 Meeting #155</w:t>
      </w:r>
      <w:r>
        <w:rPr>
          <w:rFonts w:ascii="Arial" w:eastAsia="Arial" w:hAnsi="Arial" w:cs="Arial"/>
          <w:b/>
          <w:sz w:val="24"/>
          <w:szCs w:val="24"/>
        </w:rPr>
        <w:tab/>
        <w:t>S2-</w:t>
      </w:r>
      <w:r w:rsidR="00CA0F5A" w:rsidRPr="00CA0F5A">
        <w:t xml:space="preserve"> </w:t>
      </w:r>
      <w:r w:rsidR="00CA0F5A" w:rsidRPr="00CA0F5A">
        <w:rPr>
          <w:rFonts w:ascii="Arial" w:eastAsia="Arial" w:hAnsi="Arial" w:cs="Arial"/>
          <w:b/>
          <w:sz w:val="24"/>
          <w:szCs w:val="24"/>
        </w:rPr>
        <w:t>2303061</w:t>
      </w:r>
    </w:p>
    <w:p w14:paraId="45CB8A20" w14:textId="77777777" w:rsidR="00A41745" w:rsidRDefault="00000000">
      <w:pPr>
        <w:pBdr>
          <w:bottom w:val="single" w:sz="6" w:space="0" w:color="000000"/>
        </w:pBdr>
        <w:tabs>
          <w:tab w:val="right" w:pos="9638"/>
        </w:tabs>
        <w:ind w:left="0" w:hanging="2"/>
        <w:rPr>
          <w:rFonts w:ascii="Arial" w:eastAsia="Arial" w:hAnsi="Arial" w:cs="Arial"/>
          <w:sz w:val="24"/>
          <w:szCs w:val="24"/>
        </w:rPr>
      </w:pPr>
      <w:r>
        <w:rPr>
          <w:rFonts w:ascii="Arial" w:eastAsia="Arial" w:hAnsi="Arial" w:cs="Arial"/>
          <w:b/>
          <w:sz w:val="24"/>
          <w:szCs w:val="24"/>
        </w:rPr>
        <w:t>Athens, Greece, February 20</w:t>
      </w:r>
      <w:r>
        <w:rPr>
          <w:rFonts w:ascii="Arial" w:eastAsia="Arial" w:hAnsi="Arial" w:cs="Arial"/>
          <w:b/>
          <w:sz w:val="24"/>
          <w:szCs w:val="24"/>
          <w:vertAlign w:val="superscript"/>
        </w:rPr>
        <w:t>th</w:t>
      </w:r>
      <w:r>
        <w:rPr>
          <w:rFonts w:ascii="Arial" w:eastAsia="Arial" w:hAnsi="Arial" w:cs="Arial"/>
          <w:b/>
          <w:sz w:val="24"/>
          <w:szCs w:val="24"/>
        </w:rPr>
        <w:t>-24</w:t>
      </w:r>
      <w:r>
        <w:rPr>
          <w:rFonts w:ascii="Arial" w:eastAsia="Arial" w:hAnsi="Arial" w:cs="Arial"/>
          <w:b/>
          <w:sz w:val="24"/>
          <w:szCs w:val="24"/>
          <w:vertAlign w:val="superscript"/>
        </w:rPr>
        <w:t>th</w:t>
      </w:r>
      <w:r>
        <w:rPr>
          <w:rFonts w:ascii="Arial" w:eastAsia="Arial" w:hAnsi="Arial" w:cs="Arial"/>
          <w:b/>
          <w:sz w:val="24"/>
          <w:szCs w:val="24"/>
        </w:rPr>
        <w:t>, 2023</w:t>
      </w:r>
      <w:r>
        <w:rPr>
          <w:rFonts w:ascii="Arial" w:eastAsia="Arial" w:hAnsi="Arial" w:cs="Arial"/>
          <w:b/>
        </w:rPr>
        <w:tab/>
      </w:r>
    </w:p>
    <w:p w14:paraId="2C7ED63A" w14:textId="77777777" w:rsidR="00A41745" w:rsidRDefault="00000000">
      <w:pPr>
        <w:ind w:left="0" w:hanging="2"/>
        <w:rPr>
          <w:rFonts w:ascii="Arial" w:eastAsia="Arial" w:hAnsi="Arial" w:cs="Arial"/>
        </w:rPr>
      </w:pPr>
      <w:r>
        <w:rPr>
          <w:rFonts w:ascii="Arial" w:eastAsia="Arial" w:hAnsi="Arial" w:cs="Arial"/>
          <w:b/>
        </w:rPr>
        <w:t>Source:</w:t>
      </w:r>
      <w:r>
        <w:rPr>
          <w:rFonts w:ascii="Arial" w:eastAsia="Arial" w:hAnsi="Arial" w:cs="Arial"/>
          <w:b/>
        </w:rPr>
        <w:tab/>
        <w:t xml:space="preserve">Meta USA </w:t>
      </w:r>
    </w:p>
    <w:p w14:paraId="18ED386E" w14:textId="77777777" w:rsidR="00A41745" w:rsidRDefault="00000000">
      <w:pPr>
        <w:ind w:left="0" w:hanging="2"/>
        <w:rPr>
          <w:rFonts w:ascii="Arial" w:eastAsia="Arial" w:hAnsi="Arial" w:cs="Arial"/>
        </w:rPr>
      </w:pPr>
      <w:r>
        <w:rPr>
          <w:rFonts w:ascii="Arial" w:eastAsia="Arial" w:hAnsi="Arial" w:cs="Arial"/>
          <w:b/>
        </w:rPr>
        <w:t>Title:</w:t>
      </w:r>
      <w:r>
        <w:rPr>
          <w:rFonts w:ascii="Arial" w:eastAsia="Arial" w:hAnsi="Arial" w:cs="Arial"/>
          <w:b/>
        </w:rPr>
        <w:tab/>
        <w:t>Discussion on PSER and relation with PDU set and 5QI in 5GS</w:t>
      </w:r>
    </w:p>
    <w:p w14:paraId="5F9A80C4" w14:textId="77777777" w:rsidR="00A41745" w:rsidRDefault="00000000">
      <w:pPr>
        <w:ind w:left="0" w:hanging="2"/>
        <w:rPr>
          <w:rFonts w:ascii="Arial" w:eastAsia="Arial" w:hAnsi="Arial" w:cs="Arial"/>
        </w:rPr>
      </w:pPr>
      <w:bookmarkStart w:id="1" w:name="_heading=h.30j0zll" w:colFirst="0" w:colLast="0"/>
      <w:bookmarkEnd w:id="1"/>
      <w:r>
        <w:rPr>
          <w:rFonts w:ascii="Arial" w:eastAsia="Arial" w:hAnsi="Arial" w:cs="Arial"/>
          <w:b/>
        </w:rPr>
        <w:t>Document for:</w:t>
      </w:r>
      <w:r>
        <w:rPr>
          <w:rFonts w:ascii="Arial" w:eastAsia="Arial" w:hAnsi="Arial" w:cs="Arial"/>
          <w:b/>
        </w:rPr>
        <w:tab/>
        <w:t>Agreement</w:t>
      </w:r>
    </w:p>
    <w:p w14:paraId="454AD0DF" w14:textId="77777777" w:rsidR="00A41745" w:rsidRDefault="00000000">
      <w:pPr>
        <w:ind w:left="0" w:hanging="2"/>
        <w:rPr>
          <w:rFonts w:ascii="Arial" w:eastAsia="Arial" w:hAnsi="Arial" w:cs="Arial"/>
        </w:rPr>
      </w:pPr>
      <w:r>
        <w:rPr>
          <w:rFonts w:ascii="Arial" w:eastAsia="Arial" w:hAnsi="Arial" w:cs="Arial"/>
          <w:b/>
        </w:rPr>
        <w:t>Agenda Item:</w:t>
      </w:r>
      <w:r>
        <w:rPr>
          <w:rFonts w:ascii="Arial" w:eastAsia="Arial" w:hAnsi="Arial" w:cs="Arial"/>
          <w:b/>
        </w:rPr>
        <w:tab/>
        <w:t>9.12.2</w:t>
      </w:r>
    </w:p>
    <w:p w14:paraId="623BC38A" w14:textId="77777777" w:rsidR="00A41745" w:rsidRDefault="00000000">
      <w:pPr>
        <w:ind w:left="0" w:hanging="2"/>
        <w:rPr>
          <w:rFonts w:ascii="Arial" w:eastAsia="Arial" w:hAnsi="Arial" w:cs="Arial"/>
        </w:rPr>
      </w:pPr>
      <w:r>
        <w:rPr>
          <w:rFonts w:ascii="Arial" w:eastAsia="Arial" w:hAnsi="Arial" w:cs="Arial"/>
          <w:b/>
        </w:rPr>
        <w:t>Work Item / Release:</w:t>
      </w:r>
      <w:r>
        <w:rPr>
          <w:rFonts w:ascii="Arial" w:eastAsia="Arial" w:hAnsi="Arial" w:cs="Arial"/>
          <w:b/>
        </w:rPr>
        <w:tab/>
        <w:t>XRM / Rel-18</w:t>
      </w:r>
    </w:p>
    <w:p w14:paraId="29C97EBE" w14:textId="3EFCBBAC" w:rsidR="00A41745" w:rsidRDefault="00000000">
      <w:pPr>
        <w:ind w:left="0" w:hanging="2"/>
        <w:rPr>
          <w:rFonts w:ascii="Arial" w:eastAsia="Arial" w:hAnsi="Arial" w:cs="Arial"/>
          <w:color w:val="000000"/>
        </w:rPr>
      </w:pPr>
      <w:r>
        <w:rPr>
          <w:rFonts w:ascii="Arial" w:eastAsia="Arial" w:hAnsi="Arial" w:cs="Arial"/>
          <w:i/>
          <w:color w:val="000000"/>
        </w:rPr>
        <w:t xml:space="preserve">Abstract of the contribution: </w:t>
      </w:r>
      <w:r w:rsidR="00E87461">
        <w:rPr>
          <w:rFonts w:ascii="Arial" w:eastAsia="Arial" w:hAnsi="Arial" w:cs="Arial"/>
          <w:i/>
          <w:color w:val="000000"/>
        </w:rPr>
        <w:t>This paper proposes that PSER (if received) is to be used by RAN even when PSDB is not received.</w:t>
      </w:r>
    </w:p>
    <w:p w14:paraId="3210114C" w14:textId="77777777" w:rsidR="00A41745" w:rsidRDefault="00000000">
      <w:pPr>
        <w:keepNext/>
        <w:keepLines/>
        <w:pBdr>
          <w:top w:val="single" w:sz="12" w:space="3" w:color="000000"/>
        </w:pBdr>
        <w:spacing w:before="240"/>
        <w:ind w:left="1" w:hanging="3"/>
        <w:jc w:val="both"/>
        <w:rPr>
          <w:rFonts w:ascii="Arial" w:eastAsia="Arial" w:hAnsi="Arial" w:cs="Arial"/>
          <w:sz w:val="32"/>
          <w:szCs w:val="32"/>
        </w:rPr>
      </w:pPr>
      <w:r>
        <w:rPr>
          <w:rFonts w:ascii="Arial" w:eastAsia="Arial" w:hAnsi="Arial" w:cs="Arial"/>
          <w:sz w:val="32"/>
          <w:szCs w:val="32"/>
        </w:rPr>
        <w:t>1.</w:t>
      </w:r>
      <w:r>
        <w:rPr>
          <w:rFonts w:ascii="Arial" w:eastAsia="Arial" w:hAnsi="Arial" w:cs="Arial"/>
          <w:sz w:val="32"/>
          <w:szCs w:val="32"/>
        </w:rPr>
        <w:tab/>
        <w:t xml:space="preserve"> Discussion</w:t>
      </w:r>
    </w:p>
    <w:p w14:paraId="2D745505" w14:textId="77777777" w:rsidR="00A41745" w:rsidRDefault="00000000">
      <w:pPr>
        <w:ind w:left="0" w:hanging="2"/>
      </w:pPr>
      <w:bookmarkStart w:id="2" w:name="_heading=h.1fob9te" w:colFirst="0" w:colLast="0"/>
      <w:bookmarkEnd w:id="2"/>
      <w:r>
        <w:t>TS 23.700-60 contains the following notes:</w:t>
      </w:r>
    </w:p>
    <w:p w14:paraId="62EE746F" w14:textId="77777777" w:rsidR="00A41745" w:rsidRDefault="00000000">
      <w:pPr>
        <w:keepLines/>
        <w:pBdr>
          <w:top w:val="nil"/>
          <w:left w:val="nil"/>
          <w:bottom w:val="nil"/>
          <w:right w:val="nil"/>
          <w:between w:val="nil"/>
        </w:pBdr>
        <w:spacing w:line="240" w:lineRule="auto"/>
        <w:ind w:left="0" w:hanging="2"/>
        <w:rPr>
          <w:color w:val="000000"/>
        </w:rPr>
      </w:pPr>
      <w:r>
        <w:rPr>
          <w:color w:val="000000"/>
        </w:rPr>
        <w:t>NOTE 4:</w:t>
      </w:r>
      <w:r>
        <w:rPr>
          <w:color w:val="000000"/>
        </w:rPr>
        <w:tab/>
        <w:t>Whether to define new 5QI(s) related to PSDB/PSER or existing 5QIs can be reused for PSDB/PSER for supporting XRM services can be determined during the normative phase.</w:t>
      </w:r>
    </w:p>
    <w:p w14:paraId="70F5BB6F" w14:textId="77777777" w:rsidR="00A41745" w:rsidRDefault="00000000">
      <w:pPr>
        <w:ind w:left="0" w:hanging="2"/>
      </w:pPr>
      <w:r>
        <w:t xml:space="preserve">This paper suggests that </w:t>
      </w:r>
      <w:proofErr w:type="gramStart"/>
      <w:r>
        <w:t>as long as</w:t>
      </w:r>
      <w:proofErr w:type="gramEnd"/>
      <w:r>
        <w:t xml:space="preserve"> PSER can be used to replace PER of the 5QI then it is not necessary to define a new 5Qi in this release for </w:t>
      </w:r>
      <w:proofErr w:type="spellStart"/>
      <w:r>
        <w:t>xRM</w:t>
      </w:r>
      <w:proofErr w:type="spellEnd"/>
      <w:r>
        <w:t>.</w:t>
      </w:r>
    </w:p>
    <w:p w14:paraId="1E248DDC" w14:textId="27C79AF1" w:rsidR="00A41745" w:rsidRDefault="00000000">
      <w:pPr>
        <w:ind w:left="0" w:hanging="2"/>
      </w:pPr>
      <w:r>
        <w:t xml:space="preserve">Currently, the TR assumes that if PSDB and PSER are received, they are somehow replacing the PDB/PER of the 5QI associated with the PDU set. Furthermore, there is an understanding that if the PSDB is somehow not valid (or given by PCF), the existing PDB of the 5QI is used to expedite the PDUs toward the device by NG-RAN. The question </w:t>
      </w:r>
      <w:r w:rsidR="00E87461">
        <w:t xml:space="preserve">here </w:t>
      </w:r>
      <w:r>
        <w:t>is then on how NG-RAN should treat PSER in the case when PSDB is not valid (e.g., not received by RAN).</w:t>
      </w:r>
    </w:p>
    <w:p w14:paraId="7B62E033" w14:textId="77777777" w:rsidR="00A41745" w:rsidRDefault="00000000">
      <w:pPr>
        <w:ind w:left="0" w:hanging="2"/>
      </w:pPr>
      <w:r>
        <w:t xml:space="preserve">According to the definition of PER </w:t>
      </w:r>
      <w:proofErr w:type="spellStart"/>
      <w:r>
        <w:t>in</w:t>
      </w:r>
      <w:proofErr w:type="spellEnd"/>
      <w:r>
        <w:t xml:space="preserve"> TS 23.501 and PSER in TR 23.700-060, they are used by the NG-RAN for the purpose of configuring the appropriate link layer protocol configurations (</w:t>
      </w:r>
      <w:proofErr w:type="gramStart"/>
      <w:r>
        <w:t>e.g.</w:t>
      </w:r>
      <w:proofErr w:type="gramEnd"/>
      <w:r>
        <w:t xml:space="preserve"> RLC and HARQ in RAN of a 3GPP access).</w:t>
      </w:r>
    </w:p>
    <w:p w14:paraId="1B3FF5F9" w14:textId="77777777" w:rsidR="00A41745" w:rsidRDefault="00000000">
      <w:pPr>
        <w:ind w:left="0" w:hanging="2"/>
      </w:pPr>
      <w:r>
        <w:t>Although the usage of PSER is to be finalised by RAN discussion, the current definition from SA2 means that RAN needs to calculate the packet error rate based on the total number of PDUs within a PDU set. This is a function of the “number” of PDU per PDU set. The following table shows that if a PSER is set to 10^-3, then PER will have different values depending on the number of PDU in a PDU set.</w:t>
      </w:r>
    </w:p>
    <w:tbl>
      <w:tblPr>
        <w:tblStyle w:val="a5"/>
        <w:tblW w:w="7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8"/>
        <w:gridCol w:w="2160"/>
        <w:gridCol w:w="5220"/>
      </w:tblGrid>
      <w:tr w:rsidR="00A41745" w14:paraId="0B380CD3" w14:textId="77777777">
        <w:tc>
          <w:tcPr>
            <w:tcW w:w="558" w:type="dxa"/>
          </w:tcPr>
          <w:p w14:paraId="7FCC053B" w14:textId="77777777" w:rsidR="00A41745" w:rsidRDefault="00000000">
            <w:pPr>
              <w:ind w:left="0" w:hanging="2"/>
            </w:pPr>
            <w:r>
              <w:t xml:space="preserve"> </w:t>
            </w:r>
          </w:p>
        </w:tc>
        <w:tc>
          <w:tcPr>
            <w:tcW w:w="2160" w:type="dxa"/>
          </w:tcPr>
          <w:p w14:paraId="50F195FA" w14:textId="77777777" w:rsidR="00A41745" w:rsidRDefault="00000000">
            <w:pPr>
              <w:ind w:left="0" w:hanging="2"/>
            </w:pPr>
            <w:r>
              <w:t>PSER value = 10^-3 with (x= no of PDU in a PDU set).</w:t>
            </w:r>
          </w:p>
        </w:tc>
        <w:tc>
          <w:tcPr>
            <w:tcW w:w="5220" w:type="dxa"/>
          </w:tcPr>
          <w:p w14:paraId="5F13873D" w14:textId="77777777" w:rsidR="00A41745" w:rsidRDefault="00000000">
            <w:pPr>
              <w:ind w:left="0" w:hanging="2"/>
            </w:pPr>
            <w:r>
              <w:t xml:space="preserve">PER equivalent </w:t>
            </w:r>
          </w:p>
        </w:tc>
      </w:tr>
      <w:tr w:rsidR="00A41745" w14:paraId="46BD9DE7" w14:textId="77777777">
        <w:tc>
          <w:tcPr>
            <w:tcW w:w="558" w:type="dxa"/>
          </w:tcPr>
          <w:p w14:paraId="0050B015" w14:textId="77777777" w:rsidR="00A41745" w:rsidRDefault="00A41745">
            <w:pPr>
              <w:ind w:left="0" w:hanging="2"/>
            </w:pPr>
          </w:p>
        </w:tc>
        <w:tc>
          <w:tcPr>
            <w:tcW w:w="2160" w:type="dxa"/>
          </w:tcPr>
          <w:p w14:paraId="327FB64C" w14:textId="77777777" w:rsidR="00A41745" w:rsidRDefault="00000000">
            <w:pPr>
              <w:ind w:left="0" w:hanging="2"/>
            </w:pPr>
            <w:r>
              <w:t>x=1</w:t>
            </w:r>
          </w:p>
        </w:tc>
        <w:tc>
          <w:tcPr>
            <w:tcW w:w="5220" w:type="dxa"/>
          </w:tcPr>
          <w:p w14:paraId="688162F1" w14:textId="77777777" w:rsidR="00A41745" w:rsidRDefault="00000000">
            <w:pPr>
              <w:ind w:left="0" w:hanging="2"/>
            </w:pPr>
            <w:r>
              <w:t>10^-3</w:t>
            </w:r>
          </w:p>
        </w:tc>
      </w:tr>
      <w:tr w:rsidR="00A41745" w14:paraId="3803BBF6" w14:textId="77777777">
        <w:tc>
          <w:tcPr>
            <w:tcW w:w="558" w:type="dxa"/>
          </w:tcPr>
          <w:p w14:paraId="735F8566" w14:textId="77777777" w:rsidR="00A41745" w:rsidRDefault="00A41745">
            <w:pPr>
              <w:ind w:left="0" w:hanging="2"/>
            </w:pPr>
          </w:p>
        </w:tc>
        <w:tc>
          <w:tcPr>
            <w:tcW w:w="2160" w:type="dxa"/>
          </w:tcPr>
          <w:p w14:paraId="328D9C22" w14:textId="77777777" w:rsidR="00A41745" w:rsidRDefault="00000000">
            <w:pPr>
              <w:ind w:left="0" w:hanging="2"/>
            </w:pPr>
            <w:r>
              <w:t>x=2</w:t>
            </w:r>
          </w:p>
        </w:tc>
        <w:tc>
          <w:tcPr>
            <w:tcW w:w="5220" w:type="dxa"/>
          </w:tcPr>
          <w:p w14:paraId="7DAB8469" w14:textId="77777777" w:rsidR="00A41745" w:rsidRDefault="00000000">
            <w:pPr>
              <w:ind w:left="0" w:hanging="2"/>
            </w:pPr>
            <w:r>
              <w:t>10^-3.3</w:t>
            </w:r>
          </w:p>
        </w:tc>
      </w:tr>
      <w:tr w:rsidR="00A41745" w14:paraId="70E633F5" w14:textId="77777777">
        <w:tc>
          <w:tcPr>
            <w:tcW w:w="558" w:type="dxa"/>
          </w:tcPr>
          <w:p w14:paraId="024EA41D" w14:textId="77777777" w:rsidR="00A41745" w:rsidRDefault="00A41745">
            <w:pPr>
              <w:ind w:left="0" w:hanging="2"/>
            </w:pPr>
          </w:p>
        </w:tc>
        <w:tc>
          <w:tcPr>
            <w:tcW w:w="2160" w:type="dxa"/>
          </w:tcPr>
          <w:p w14:paraId="1DFA948D" w14:textId="77777777" w:rsidR="00A41745" w:rsidRDefault="00000000">
            <w:pPr>
              <w:ind w:left="0" w:hanging="2"/>
            </w:pPr>
            <w:r>
              <w:t>x=5</w:t>
            </w:r>
          </w:p>
        </w:tc>
        <w:tc>
          <w:tcPr>
            <w:tcW w:w="5220" w:type="dxa"/>
          </w:tcPr>
          <w:p w14:paraId="3121988D" w14:textId="77777777" w:rsidR="00A41745" w:rsidRDefault="00000000">
            <w:pPr>
              <w:ind w:left="0" w:hanging="2"/>
            </w:pPr>
            <w:r>
              <w:t>10^-3.698</w:t>
            </w:r>
          </w:p>
        </w:tc>
      </w:tr>
      <w:tr w:rsidR="00A41745" w14:paraId="00E65AFA" w14:textId="77777777">
        <w:tc>
          <w:tcPr>
            <w:tcW w:w="558" w:type="dxa"/>
          </w:tcPr>
          <w:p w14:paraId="4A643CEF" w14:textId="77777777" w:rsidR="00A41745" w:rsidRDefault="00A41745">
            <w:pPr>
              <w:ind w:left="0" w:hanging="2"/>
            </w:pPr>
          </w:p>
        </w:tc>
        <w:tc>
          <w:tcPr>
            <w:tcW w:w="2160" w:type="dxa"/>
          </w:tcPr>
          <w:p w14:paraId="02826B47" w14:textId="77777777" w:rsidR="00A41745" w:rsidRDefault="00000000">
            <w:pPr>
              <w:ind w:left="0" w:hanging="2"/>
            </w:pPr>
            <w:r>
              <w:t>x=10</w:t>
            </w:r>
          </w:p>
        </w:tc>
        <w:tc>
          <w:tcPr>
            <w:tcW w:w="5220" w:type="dxa"/>
          </w:tcPr>
          <w:p w14:paraId="605A3D16" w14:textId="77777777" w:rsidR="00A41745" w:rsidRDefault="00000000">
            <w:pPr>
              <w:ind w:left="0" w:hanging="2"/>
            </w:pPr>
            <w:r>
              <w:t>10^-3.999</w:t>
            </w:r>
          </w:p>
        </w:tc>
      </w:tr>
      <w:tr w:rsidR="00A41745" w14:paraId="6B3811CD" w14:textId="77777777">
        <w:tc>
          <w:tcPr>
            <w:tcW w:w="558" w:type="dxa"/>
          </w:tcPr>
          <w:p w14:paraId="203CD51B" w14:textId="77777777" w:rsidR="00A41745" w:rsidRDefault="00A41745">
            <w:pPr>
              <w:ind w:left="0" w:hanging="2"/>
            </w:pPr>
          </w:p>
        </w:tc>
        <w:tc>
          <w:tcPr>
            <w:tcW w:w="2160" w:type="dxa"/>
          </w:tcPr>
          <w:p w14:paraId="58C82DB2" w14:textId="77777777" w:rsidR="00A41745" w:rsidRDefault="00000000">
            <w:pPr>
              <w:ind w:left="0" w:hanging="2"/>
            </w:pPr>
            <w:r>
              <w:t>x=20</w:t>
            </w:r>
          </w:p>
        </w:tc>
        <w:tc>
          <w:tcPr>
            <w:tcW w:w="5220" w:type="dxa"/>
          </w:tcPr>
          <w:p w14:paraId="128DF68C" w14:textId="77777777" w:rsidR="00A41745" w:rsidRDefault="00000000">
            <w:pPr>
              <w:ind w:left="0" w:hanging="2"/>
            </w:pPr>
            <w:r>
              <w:t>10^-4.3</w:t>
            </w:r>
          </w:p>
        </w:tc>
      </w:tr>
    </w:tbl>
    <w:p w14:paraId="610FE779" w14:textId="77777777" w:rsidR="00A41745" w:rsidRDefault="00A41745">
      <w:pPr>
        <w:ind w:left="0" w:hanging="2"/>
      </w:pPr>
    </w:p>
    <w:p w14:paraId="3A2FEC7E" w14:textId="77777777" w:rsidR="00A41745" w:rsidRDefault="00000000">
      <w:pPr>
        <w:ind w:left="0" w:hanging="2"/>
      </w:pPr>
      <w:r>
        <w:t xml:space="preserve">For example, if a PDU set is mapped to 5QI=80 in which its PER value is 10^-6 while let’s say PSER (from AF) is set to 10^-3, then if PSDB is valid, the expectation is that the RAN will use PER between the range of 10^-3 to 10^-4, etc for link level configuration. Therefore, </w:t>
      </w:r>
      <w:proofErr w:type="gramStart"/>
      <w:r>
        <w:t>if  PSDB</w:t>
      </w:r>
      <w:proofErr w:type="gramEnd"/>
      <w:r>
        <w:t xml:space="preserve"> is not received by RAN, should RAN continue to use the PER of the 5QI (</w:t>
      </w:r>
      <w:proofErr w:type="spellStart"/>
      <w:r>
        <w:t>i.e</w:t>
      </w:r>
      <w:proofErr w:type="spellEnd"/>
      <w:r>
        <w:t>, in this example PER=10^-6) and ignore the PSER received?.</w:t>
      </w:r>
    </w:p>
    <w:p w14:paraId="5B9067F3" w14:textId="77777777" w:rsidR="00A41745" w:rsidRDefault="00000000">
      <w:pPr>
        <w:ind w:left="0" w:hanging="2"/>
      </w:pPr>
      <w:r>
        <w:t>Hence, the proposal here is that if PSDB is not received by RAN and the PDB of the 5QI is used to expedite the traffic forwarding to UE (as assumed during conclusion phase), but RAN has received the PSER, it is also expected that RAN will continue to use the PSER for the purpose of appropriate link layer protocol configurations (</w:t>
      </w:r>
      <w:proofErr w:type="gramStart"/>
      <w:r>
        <w:t>e.g.</w:t>
      </w:r>
      <w:proofErr w:type="gramEnd"/>
      <w:r>
        <w:t xml:space="preserve"> RLC and HARQ in RAN of a 3GPP access).</w:t>
      </w:r>
    </w:p>
    <w:p w14:paraId="4DF0CEBC" w14:textId="77777777" w:rsidR="00A41745" w:rsidRDefault="00000000">
      <w:pPr>
        <w:keepNext/>
        <w:keepLines/>
        <w:pBdr>
          <w:top w:val="single" w:sz="12" w:space="3" w:color="000000"/>
        </w:pBdr>
        <w:spacing w:before="240"/>
        <w:ind w:left="1" w:hanging="3"/>
        <w:jc w:val="both"/>
        <w:rPr>
          <w:rFonts w:ascii="Arial" w:eastAsia="Arial" w:hAnsi="Arial" w:cs="Arial"/>
          <w:sz w:val="32"/>
          <w:szCs w:val="32"/>
        </w:rPr>
      </w:pPr>
      <w:r>
        <w:rPr>
          <w:rFonts w:ascii="Arial" w:eastAsia="Arial" w:hAnsi="Arial" w:cs="Arial"/>
          <w:sz w:val="32"/>
          <w:szCs w:val="32"/>
        </w:rPr>
        <w:lastRenderedPageBreak/>
        <w:t>2.</w:t>
      </w:r>
      <w:r>
        <w:rPr>
          <w:rFonts w:ascii="Arial" w:eastAsia="Arial" w:hAnsi="Arial" w:cs="Arial"/>
          <w:sz w:val="32"/>
          <w:szCs w:val="32"/>
        </w:rPr>
        <w:tab/>
        <w:t>Proposal</w:t>
      </w:r>
    </w:p>
    <w:p w14:paraId="2A37ECFF" w14:textId="77777777" w:rsidR="00A41745" w:rsidRDefault="00000000">
      <w:pPr>
        <w:ind w:left="0" w:hanging="2"/>
      </w:pPr>
      <w:r>
        <w:t>It is proposed to adopt the following principle when PSER is provided but PSDB is not valid:</w:t>
      </w:r>
    </w:p>
    <w:p w14:paraId="3E8BBF4A" w14:textId="77777777" w:rsidR="00A41745" w:rsidRDefault="00000000">
      <w:pPr>
        <w:ind w:left="0" w:hanging="2"/>
      </w:pPr>
      <w:r>
        <w:rPr>
          <w:i/>
        </w:rPr>
        <w:t xml:space="preserve">NG-RAN will continue to use the provided PSER value (instead of the PER from 5QI) even when PSDB is not received, for the purpose of </w:t>
      </w:r>
      <w:r>
        <w:t>appropriate link layer protocol configurations (</w:t>
      </w:r>
      <w:proofErr w:type="gramStart"/>
      <w:r>
        <w:t>e.g.</w:t>
      </w:r>
      <w:proofErr w:type="gramEnd"/>
      <w:r>
        <w:t xml:space="preserve"> RLC and HARQ in RAN of a 3GPP access).</w:t>
      </w:r>
    </w:p>
    <w:p w14:paraId="12364CC2" w14:textId="77777777" w:rsidR="00A41745" w:rsidRDefault="00000000">
      <w:pPr>
        <w:ind w:left="0" w:hanging="2"/>
      </w:pPr>
      <w:r>
        <w:t>If this is agreed, Meta will bring the CR at the next meeting to formulate this normative requirement to TS 23.501.</w:t>
      </w:r>
    </w:p>
    <w:p w14:paraId="482B5DE8" w14:textId="77777777" w:rsidR="00A41745" w:rsidRDefault="00A41745">
      <w:pPr>
        <w:ind w:left="0" w:hanging="2"/>
      </w:pPr>
    </w:p>
    <w:p w14:paraId="42BE664C" w14:textId="77777777" w:rsidR="00A41745" w:rsidRDefault="00000000">
      <w:pPr>
        <w:spacing w:line="240" w:lineRule="auto"/>
        <w:ind w:left="0" w:hanging="2"/>
      </w:pPr>
      <w:r>
        <w:br w:type="page"/>
      </w:r>
    </w:p>
    <w:p w14:paraId="1D67435C" w14:textId="77777777" w:rsidR="00A41745" w:rsidRDefault="00000000">
      <w:pPr>
        <w:ind w:left="1" w:hanging="3"/>
      </w:pPr>
      <w:r>
        <w:rPr>
          <w:b/>
          <w:sz w:val="28"/>
          <w:szCs w:val="28"/>
        </w:rPr>
        <w:lastRenderedPageBreak/>
        <w:t xml:space="preserve">Annex: </w:t>
      </w:r>
      <w:r>
        <w:t>Information as FYI</w:t>
      </w:r>
    </w:p>
    <w:p w14:paraId="1D8FDA6B" w14:textId="77777777" w:rsidR="00A41745" w:rsidRDefault="00000000">
      <w:pPr>
        <w:ind w:left="0" w:hanging="2"/>
      </w:pPr>
      <w:r>
        <w:t>To understand how PSER can be related to 5QI’s PER, we first look at the following existing PER definition defined in TS 38.314.</w:t>
      </w:r>
    </w:p>
    <w:tbl>
      <w:tblPr>
        <w:tblStyle w:val="a6"/>
        <w:tblW w:w="99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6"/>
      </w:tblGrid>
      <w:tr w:rsidR="00A41745" w14:paraId="0650E009" w14:textId="77777777">
        <w:tc>
          <w:tcPr>
            <w:tcW w:w="9936" w:type="dxa"/>
          </w:tcPr>
          <w:p w14:paraId="32BB04FA" w14:textId="77777777" w:rsidR="00A41745" w:rsidRDefault="00000000">
            <w:pPr>
              <w:pStyle w:val="Heading4"/>
              <w:ind w:left="0" w:hanging="2"/>
            </w:pPr>
            <w:bookmarkStart w:id="3" w:name="_heading=h.3znysh7" w:colFirst="0" w:colLast="0"/>
            <w:bookmarkEnd w:id="3"/>
            <w:r>
              <w:t>4.2.1.5</w:t>
            </w:r>
            <w:r>
              <w:tab/>
              <w:t>Packet Loss Rate</w:t>
            </w:r>
            <w:r>
              <w:br/>
            </w:r>
          </w:p>
          <w:p w14:paraId="4BBAB6F2" w14:textId="77777777" w:rsidR="00A41745" w:rsidRDefault="00000000">
            <w:pPr>
              <w:pStyle w:val="Heading5"/>
              <w:ind w:left="0" w:hanging="2"/>
            </w:pPr>
            <w:bookmarkStart w:id="4" w:name="_heading=h.2et92p0" w:colFirst="0" w:colLast="0"/>
            <w:bookmarkEnd w:id="4"/>
            <w:r>
              <w:t>4.2.1.5.1</w:t>
            </w:r>
            <w:r>
              <w:tab/>
              <w:t xml:space="preserve">Packet </w:t>
            </w:r>
            <w:proofErr w:type="spellStart"/>
            <w:r>
              <w:t>Uu</w:t>
            </w:r>
            <w:proofErr w:type="spellEnd"/>
            <w:r>
              <w:t xml:space="preserve"> Loss Rate in the DL per DRB per UE</w:t>
            </w:r>
            <w:r>
              <w:br/>
            </w:r>
          </w:p>
          <w:p w14:paraId="550950BB" w14:textId="77777777" w:rsidR="00A41745" w:rsidRDefault="00000000">
            <w:pPr>
              <w:ind w:left="0" w:hanging="2"/>
            </w:pPr>
            <w:bookmarkStart w:id="5" w:name="_heading=h.tyjcwt" w:colFirst="0" w:colLast="0"/>
            <w:bookmarkEnd w:id="5"/>
            <w:r>
              <w:t xml:space="preserve">The objective of this measurement is to measure packets that are lost at </w:t>
            </w:r>
            <w:proofErr w:type="spellStart"/>
            <w:r>
              <w:t>Uu</w:t>
            </w:r>
            <w:proofErr w:type="spellEnd"/>
            <w:r>
              <w:t xml:space="preserve"> transmission, for OAM performance observability or for QoS verification of MDT.</w:t>
            </w:r>
          </w:p>
          <w:p w14:paraId="616B0892" w14:textId="77777777" w:rsidR="00A41745" w:rsidRDefault="00000000">
            <w:pPr>
              <w:ind w:left="0" w:hanging="2"/>
            </w:pPr>
            <w:r>
              <w:t>Protocol Layer: RLC</w:t>
            </w:r>
          </w:p>
          <w:p w14:paraId="6234C5CB" w14:textId="77777777" w:rsidR="00A41745" w:rsidRDefault="00000000">
            <w:pPr>
              <w:keepNext/>
              <w:keepLines/>
              <w:pBdr>
                <w:top w:val="nil"/>
                <w:left w:val="nil"/>
                <w:bottom w:val="nil"/>
                <w:right w:val="nil"/>
                <w:between w:val="nil"/>
              </w:pBdr>
              <w:spacing w:before="60" w:line="240" w:lineRule="auto"/>
              <w:ind w:left="0" w:hanging="2"/>
              <w:jc w:val="center"/>
              <w:rPr>
                <w:rFonts w:ascii="Arial" w:eastAsia="Arial" w:hAnsi="Arial" w:cs="Arial"/>
                <w:b/>
                <w:color w:val="000000"/>
              </w:rPr>
            </w:pPr>
            <w:r>
              <w:rPr>
                <w:rFonts w:ascii="Arial" w:eastAsia="Arial" w:hAnsi="Arial" w:cs="Arial"/>
                <w:b/>
                <w:color w:val="000000"/>
              </w:rPr>
              <w:t xml:space="preserve">Table 4.2.1.5.1-1: Definition for Packet </w:t>
            </w:r>
            <w:proofErr w:type="spellStart"/>
            <w:r>
              <w:rPr>
                <w:rFonts w:ascii="Arial" w:eastAsia="Arial" w:hAnsi="Arial" w:cs="Arial"/>
                <w:b/>
                <w:color w:val="000000"/>
              </w:rPr>
              <w:t>Uu</w:t>
            </w:r>
            <w:proofErr w:type="spellEnd"/>
            <w:r>
              <w:rPr>
                <w:rFonts w:ascii="Arial" w:eastAsia="Arial" w:hAnsi="Arial" w:cs="Arial"/>
                <w:b/>
                <w:color w:val="000000"/>
              </w:rPr>
              <w:t xml:space="preserve"> Loss Rate in the DL per DRB per UE</w:t>
            </w:r>
            <w:r>
              <w:rPr>
                <w:rFonts w:ascii="Arial" w:eastAsia="Arial" w:hAnsi="Arial" w:cs="Arial"/>
                <w:b/>
                <w:color w:val="000000"/>
              </w:rPr>
              <w:br/>
            </w:r>
          </w:p>
          <w:tbl>
            <w:tblPr>
              <w:tblStyle w:val="a7"/>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787"/>
            </w:tblGrid>
            <w:tr w:rsidR="00A41745" w14:paraId="5A855C20" w14:textId="77777777">
              <w:trPr>
                <w:cantSplit/>
                <w:jc w:val="center"/>
              </w:trPr>
              <w:tc>
                <w:tcPr>
                  <w:tcW w:w="1951" w:type="dxa"/>
                </w:tcPr>
                <w:p w14:paraId="1D94E726" w14:textId="77777777" w:rsidR="00A41745" w:rsidRDefault="00000000">
                  <w:pPr>
                    <w:keepNext/>
                    <w:keepLines/>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Definition</w:t>
                  </w:r>
                </w:p>
              </w:tc>
              <w:tc>
                <w:tcPr>
                  <w:tcW w:w="7787" w:type="dxa"/>
                </w:tcPr>
                <w:p w14:paraId="74744D95" w14:textId="77777777" w:rsidR="00A41745" w:rsidRDefault="00000000">
                  <w:pPr>
                    <w:keepNext/>
                    <w:keepLines/>
                    <w:pBdr>
                      <w:top w:val="nil"/>
                      <w:left w:val="nil"/>
                      <w:bottom w:val="nil"/>
                      <w:right w:val="nil"/>
                      <w:between w:val="nil"/>
                    </w:pBdr>
                    <w:spacing w:after="0" w:line="240" w:lineRule="auto"/>
                    <w:ind w:left="0" w:hanging="2"/>
                    <w:rPr>
                      <w:rFonts w:ascii="Arial" w:eastAsia="Arial" w:hAnsi="Arial" w:cs="Arial"/>
                      <w:color w:val="000000"/>
                      <w:sz w:val="18"/>
                      <w:szCs w:val="18"/>
                    </w:rPr>
                  </w:pPr>
                  <w:proofErr w:type="spellStart"/>
                  <w:r>
                    <w:rPr>
                      <w:rFonts w:ascii="Arial" w:eastAsia="Arial" w:hAnsi="Arial" w:cs="Arial"/>
                      <w:color w:val="000000"/>
                      <w:sz w:val="18"/>
                      <w:szCs w:val="18"/>
                    </w:rPr>
                    <w:t>Uu</w:t>
                  </w:r>
                  <w:proofErr w:type="spellEnd"/>
                  <w:r>
                    <w:rPr>
                      <w:rFonts w:ascii="Arial" w:eastAsia="Arial" w:hAnsi="Arial" w:cs="Arial"/>
                      <w:color w:val="000000"/>
                      <w:sz w:val="18"/>
                      <w:szCs w:val="18"/>
                    </w:rPr>
                    <w:t xml:space="preserve"> Packet Loss Rate in the DL per DRB per UE. One packet corresponds to </w:t>
                  </w:r>
                  <w:r>
                    <w:rPr>
                      <w:rFonts w:ascii="Arial" w:eastAsia="Arial" w:hAnsi="Arial" w:cs="Arial"/>
                      <w:color w:val="000000"/>
                      <w:sz w:val="18"/>
                      <w:szCs w:val="18"/>
                      <w:highlight w:val="yellow"/>
                    </w:rPr>
                    <w:t>one RLC SDU</w:t>
                  </w:r>
                  <w:r>
                    <w:rPr>
                      <w:rFonts w:ascii="Arial" w:eastAsia="Arial" w:hAnsi="Arial" w:cs="Arial"/>
                      <w:color w:val="000000"/>
                      <w:sz w:val="18"/>
                      <w:szCs w:val="18"/>
                    </w:rPr>
                    <w:t>. The measurement is done separately per DRB.</w:t>
                  </w:r>
                </w:p>
                <w:p w14:paraId="2CD1307C" w14:textId="77777777" w:rsidR="00A41745" w:rsidRDefault="00000000">
                  <w:pPr>
                    <w:keepNext/>
                    <w:keepLines/>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Detailed Definition:</w:t>
                  </w:r>
                </w:p>
                <w:p w14:paraId="703DD97D" w14:textId="77777777" w:rsidR="00A41745" w:rsidRDefault="00000000">
                  <w:pPr>
                    <w:keepNext/>
                    <w:keepLines/>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noProof/>
                      <w:color w:val="000000"/>
                      <w:sz w:val="18"/>
                      <w:szCs w:val="18"/>
                    </w:rPr>
                    <w:drawing>
                      <wp:inline distT="0" distB="0" distL="114300" distR="114300" wp14:anchorId="3F924B81" wp14:editId="6A6760AA">
                        <wp:extent cx="1906905" cy="217805"/>
                        <wp:effectExtent l="0" t="0" r="0" b="0"/>
                        <wp:docPr id="10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906905" cy="217805"/>
                                </a:xfrm>
                                <a:prstGeom prst="rect">
                                  <a:avLst/>
                                </a:prstGeom>
                                <a:ln/>
                              </pic:spPr>
                            </pic:pic>
                          </a:graphicData>
                        </a:graphic>
                      </wp:inline>
                    </w:drawing>
                  </w:r>
                  <w:r>
                    <w:rPr>
                      <w:rFonts w:ascii="Arial" w:eastAsia="Arial" w:hAnsi="Arial" w:cs="Arial"/>
                      <w:noProof/>
                      <w:color w:val="000000"/>
                      <w:sz w:val="18"/>
                      <w:szCs w:val="18"/>
                    </w:rPr>
                    <w:drawing>
                      <wp:inline distT="0" distB="0" distL="114300" distR="114300" wp14:anchorId="1AF43A91" wp14:editId="26779A3A">
                        <wp:extent cx="1905000" cy="215900"/>
                        <wp:effectExtent l="0" t="0" r="0" b="0"/>
                        <wp:docPr id="10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1905000" cy="215900"/>
                                </a:xfrm>
                                <a:prstGeom prst="rect">
                                  <a:avLst/>
                                </a:prstGeom>
                                <a:ln/>
                              </pic:spPr>
                            </pic:pic>
                          </a:graphicData>
                        </a:graphic>
                      </wp:inline>
                    </w:drawing>
                  </w:r>
                  <w:r>
                    <w:rPr>
                      <w:rFonts w:ascii="Arial" w:eastAsia="Arial" w:hAnsi="Arial" w:cs="Arial"/>
                      <w:color w:val="000000"/>
                      <w:sz w:val="18"/>
                      <w:szCs w:val="18"/>
                    </w:rPr>
                    <w:t xml:space="preserve">, </w:t>
                  </w:r>
                  <w:proofErr w:type="gramStart"/>
                  <w:r>
                    <w:rPr>
                      <w:rFonts w:ascii="Arial" w:eastAsia="Arial" w:hAnsi="Arial" w:cs="Arial"/>
                      <w:color w:val="000000"/>
                      <w:sz w:val="18"/>
                      <w:szCs w:val="18"/>
                    </w:rPr>
                    <w:t>where</w:t>
                  </w:r>
                  <w:proofErr w:type="gramEnd"/>
                </w:p>
                <w:p w14:paraId="0FCD8574" w14:textId="77777777" w:rsidR="00A41745" w:rsidRDefault="00000000">
                  <w:pPr>
                    <w:keepNext/>
                    <w:keepLines/>
                    <w:pBdr>
                      <w:top w:val="nil"/>
                      <w:left w:val="nil"/>
                      <w:bottom w:val="nil"/>
                      <w:right w:val="nil"/>
                      <w:between w:val="nil"/>
                    </w:pBdr>
                    <w:spacing w:after="0" w:line="240" w:lineRule="auto"/>
                    <w:ind w:left="0" w:hanging="2"/>
                    <w:rPr>
                      <w:rFonts w:ascii="Arial" w:eastAsia="Arial" w:hAnsi="Arial" w:cs="Arial"/>
                      <w:color w:val="000000"/>
                      <w:sz w:val="18"/>
                      <w:szCs w:val="18"/>
                    </w:rPr>
                  </w:pPr>
                  <w:r>
                    <w:rPr>
                      <w:rFonts w:ascii="Arial" w:eastAsia="Arial" w:hAnsi="Arial" w:cs="Arial"/>
                      <w:color w:val="000000"/>
                      <w:sz w:val="18"/>
                      <w:szCs w:val="18"/>
                    </w:rPr>
                    <w:t>explanations can be found in the table 4.2.1.5.1-2 below.</w:t>
                  </w:r>
                </w:p>
              </w:tc>
            </w:tr>
          </w:tbl>
          <w:p w14:paraId="492C1F2D" w14:textId="77777777" w:rsidR="00A41745" w:rsidRDefault="00A41745">
            <w:pPr>
              <w:ind w:left="0" w:hanging="2"/>
            </w:pPr>
          </w:p>
          <w:p w14:paraId="3CB4DC3C" w14:textId="77777777" w:rsidR="00A41745" w:rsidRDefault="00000000">
            <w:pPr>
              <w:keepLines/>
              <w:pBdr>
                <w:top w:val="nil"/>
                <w:left w:val="nil"/>
                <w:bottom w:val="nil"/>
                <w:right w:val="nil"/>
                <w:between w:val="nil"/>
              </w:pBdr>
              <w:spacing w:line="240" w:lineRule="auto"/>
              <w:ind w:left="0" w:hanging="2"/>
              <w:rPr>
                <w:color w:val="000000"/>
              </w:rPr>
            </w:pPr>
            <w:r>
              <w:rPr>
                <w:color w:val="000000"/>
              </w:rPr>
              <w:t>NOTE 1:</w:t>
            </w:r>
            <w:r>
              <w:rPr>
                <w:color w:val="000000"/>
              </w:rPr>
              <w:tab/>
            </w:r>
            <w:r>
              <w:rPr>
                <w:color w:val="000000"/>
                <w:highlight w:val="yellow"/>
              </w:rPr>
              <w:t>Packet loss is expected to be upper bounded by the PER (packet error rate, as defined in TS 23.501 [4]) of the DRB which takes values between 10</w:t>
            </w:r>
            <w:r>
              <w:rPr>
                <w:color w:val="000000"/>
                <w:highlight w:val="yellow"/>
                <w:vertAlign w:val="superscript"/>
              </w:rPr>
              <w:t>-6</w:t>
            </w:r>
            <w:r>
              <w:rPr>
                <w:color w:val="000000"/>
                <w:highlight w:val="yellow"/>
              </w:rPr>
              <w:t xml:space="preserve"> and 10</w:t>
            </w:r>
            <w:r>
              <w:rPr>
                <w:color w:val="000000"/>
                <w:highlight w:val="yellow"/>
                <w:vertAlign w:val="superscript"/>
              </w:rPr>
              <w:t>-2</w:t>
            </w:r>
            <w:r>
              <w:rPr>
                <w:color w:val="000000"/>
                <w:highlight w:val="yellow"/>
              </w:rPr>
              <w:t>.</w:t>
            </w:r>
            <w:r>
              <w:rPr>
                <w:color w:val="000000"/>
              </w:rPr>
              <w:t xml:space="preserve"> The </w:t>
            </w:r>
            <w:r>
              <w:rPr>
                <w:color w:val="000000"/>
                <w:highlight w:val="yellow"/>
              </w:rPr>
              <w:t>statistical accuracy</w:t>
            </w:r>
            <w:r>
              <w:rPr>
                <w:color w:val="000000"/>
              </w:rPr>
              <w:t xml:space="preserve"> of an individual packet loss rate measurement result is dependent on how many packets have been received, </w:t>
            </w:r>
            <w:r>
              <w:rPr>
                <w:color w:val="000000"/>
                <w:highlight w:val="yellow"/>
              </w:rPr>
              <w:t>and thus the time for the measurement.</w:t>
            </w:r>
          </w:p>
          <w:p w14:paraId="0171D04E" w14:textId="77777777" w:rsidR="00A41745" w:rsidRDefault="00000000">
            <w:pPr>
              <w:keepLines/>
              <w:pBdr>
                <w:top w:val="nil"/>
                <w:left w:val="nil"/>
                <w:bottom w:val="nil"/>
                <w:right w:val="nil"/>
                <w:between w:val="nil"/>
              </w:pBdr>
              <w:spacing w:line="240" w:lineRule="auto"/>
              <w:ind w:left="0" w:hanging="2"/>
              <w:rPr>
                <w:color w:val="000000"/>
              </w:rPr>
            </w:pPr>
            <w:r>
              <w:rPr>
                <w:color w:val="000000"/>
              </w:rPr>
              <w:t>NOTE 2:</w:t>
            </w:r>
            <w:r>
              <w:rPr>
                <w:color w:val="000000"/>
              </w:rPr>
              <w:tab/>
              <w:t>The granularity for Packet loss rate measurement is per DRB per UE, as defined in TS 28.552 [2].</w:t>
            </w:r>
          </w:p>
        </w:tc>
      </w:tr>
    </w:tbl>
    <w:p w14:paraId="67AF6660" w14:textId="77777777" w:rsidR="00A41745" w:rsidRDefault="00A41745">
      <w:pPr>
        <w:ind w:left="0" w:hanging="2"/>
      </w:pPr>
    </w:p>
    <w:p w14:paraId="4EF7638C" w14:textId="77777777" w:rsidR="00A41745" w:rsidRDefault="00000000">
      <w:pPr>
        <w:ind w:left="0" w:hanging="2"/>
      </w:pPr>
      <w:r>
        <w:t xml:space="preserve">The highlighted point here is that Packet loss rate is bounded by PER defined for that 5QI and it is based on measurement over time (in minutes) and based on each RLC SDU (=each IP packet) delivery success rate. </w:t>
      </w:r>
    </w:p>
    <w:p w14:paraId="03B2D751" w14:textId="77777777" w:rsidR="00A41745" w:rsidRDefault="00000000">
      <w:pPr>
        <w:ind w:left="0" w:hanging="2"/>
      </w:pPr>
      <w:r>
        <w:t xml:space="preserve">In TS 23.501, PER is meant </w:t>
      </w:r>
      <w:proofErr w:type="gramStart"/>
      <w:r>
        <w:t>for</w:t>
      </w:r>
      <w:r>
        <w:rPr>
          <w:i/>
        </w:rPr>
        <w:t>:..</w:t>
      </w:r>
      <w:proofErr w:type="gramEnd"/>
      <w:r>
        <w:rPr>
          <w:i/>
        </w:rPr>
        <w:t xml:space="preserve"> The purpose of the PER is to allow </w:t>
      </w:r>
      <w:r>
        <w:rPr>
          <w:i/>
          <w:highlight w:val="yellow"/>
        </w:rPr>
        <w:t>for appropriate link layer protocol configurations</w:t>
      </w:r>
      <w:r>
        <w:rPr>
          <w:i/>
        </w:rPr>
        <w:t xml:space="preserve"> (</w:t>
      </w:r>
      <w:proofErr w:type="gramStart"/>
      <w:r>
        <w:rPr>
          <w:i/>
        </w:rPr>
        <w:t>e.g.</w:t>
      </w:r>
      <w:proofErr w:type="gramEnd"/>
      <w:r>
        <w:rPr>
          <w:i/>
        </w:rPr>
        <w:t xml:space="preserve"> RLC and HARQ in RAN of a 3GPP access).</w:t>
      </w:r>
    </w:p>
    <w:p w14:paraId="7EFAEFA6" w14:textId="77777777" w:rsidR="00A41745" w:rsidRDefault="00000000">
      <w:pPr>
        <w:ind w:left="0" w:hanging="2"/>
      </w:pPr>
      <w:r>
        <w:t xml:space="preserve">Then looking into PSER, it is also meant </w:t>
      </w:r>
      <w:proofErr w:type="gramStart"/>
      <w:r>
        <w:t>for..</w:t>
      </w:r>
      <w:proofErr w:type="gramEnd"/>
      <w:r>
        <w:t xml:space="preserve"> </w:t>
      </w:r>
      <w:r>
        <w:rPr>
          <w:i/>
          <w:highlight w:val="yellow"/>
        </w:rPr>
        <w:t>appropriate link layer protocol configurations (</w:t>
      </w:r>
      <w:proofErr w:type="gramStart"/>
      <w:r>
        <w:rPr>
          <w:i/>
          <w:highlight w:val="yellow"/>
        </w:rPr>
        <w:t>e.g.</w:t>
      </w:r>
      <w:proofErr w:type="gramEnd"/>
      <w:r>
        <w:rPr>
          <w:i/>
          <w:highlight w:val="yellow"/>
        </w:rPr>
        <w:t xml:space="preserve"> RLC and HARQ in RAN of a 3GPP access).</w:t>
      </w:r>
      <w:r>
        <w:t xml:space="preserve">  But the difference is that PSER is looking at more than one PDU if a PDU set carries more than one PDU. </w:t>
      </w:r>
    </w:p>
    <w:tbl>
      <w:tblPr>
        <w:tblStyle w:val="a8"/>
        <w:tblW w:w="99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6"/>
      </w:tblGrid>
      <w:tr w:rsidR="00A41745" w14:paraId="5F8C9D86" w14:textId="77777777">
        <w:tc>
          <w:tcPr>
            <w:tcW w:w="9936" w:type="dxa"/>
          </w:tcPr>
          <w:p w14:paraId="7BC8C077" w14:textId="77777777" w:rsidR="00A41745" w:rsidRDefault="00000000">
            <w:pPr>
              <w:ind w:left="0" w:hanging="2"/>
            </w:pPr>
            <w:r>
              <w:rPr>
                <w:i/>
              </w:rPr>
              <w:t>The PDU Set Error Rate (PSER) defines an upper bound for the rate of PDU Sets that have been processed by the sender of a link layer protocol (</w:t>
            </w:r>
            <w:proofErr w:type="gramStart"/>
            <w:r>
              <w:rPr>
                <w:i/>
              </w:rPr>
              <w:t>e.g.</w:t>
            </w:r>
            <w:proofErr w:type="gramEnd"/>
            <w:r>
              <w:rPr>
                <w:i/>
              </w:rPr>
              <w:t xml:space="preserve"> RLC in RAN of a 3GPP access) but that are not successfully delivered by the corresponding receiver to the upper layer (e.g. PDCP in RAN of a 3GPP access). Thus, the PSER defines an upper bound for a rate of non-congestion related packet losses. </w:t>
            </w:r>
            <w:r>
              <w:rPr>
                <w:i/>
                <w:highlight w:val="yellow"/>
              </w:rPr>
              <w:t>The purpose of the PSER is to allow for appropriate link layer protocol configurations (</w:t>
            </w:r>
            <w:proofErr w:type="gramStart"/>
            <w:r>
              <w:rPr>
                <w:i/>
                <w:highlight w:val="yellow"/>
              </w:rPr>
              <w:t>e.g.</w:t>
            </w:r>
            <w:proofErr w:type="gramEnd"/>
            <w:r>
              <w:rPr>
                <w:i/>
                <w:highlight w:val="yellow"/>
              </w:rPr>
              <w:t xml:space="preserve"> RLC and HARQ in RAN of a 3GPP access).</w:t>
            </w:r>
          </w:p>
        </w:tc>
      </w:tr>
    </w:tbl>
    <w:p w14:paraId="3084071B" w14:textId="77777777" w:rsidR="00A41745" w:rsidRDefault="00A41745">
      <w:pPr>
        <w:ind w:left="0" w:hanging="2"/>
      </w:pPr>
    </w:p>
    <w:p w14:paraId="54116016" w14:textId="77777777" w:rsidR="00A41745" w:rsidRDefault="00000000">
      <w:pPr>
        <w:ind w:left="0" w:hanging="2"/>
      </w:pPr>
      <w:r>
        <w:rPr>
          <w:b/>
        </w:rPr>
        <w:t>Observation 1:</w:t>
      </w:r>
      <w:r>
        <w:t xml:space="preserve"> Both PSER and PER are meant to control the same layer -&gt; appropriate link layer protocol configurations (</w:t>
      </w:r>
      <w:proofErr w:type="gramStart"/>
      <w:r>
        <w:t>e.g.</w:t>
      </w:r>
      <w:proofErr w:type="gramEnd"/>
      <w:r>
        <w:t xml:space="preserve"> RLC and HARQ in RAN of a 3GPP access </w:t>
      </w:r>
    </w:p>
    <w:p w14:paraId="39A01E8F" w14:textId="77777777" w:rsidR="00A41745" w:rsidRDefault="00000000">
      <w:pPr>
        <w:ind w:left="0" w:hanging="2"/>
      </w:pPr>
      <w:r>
        <w:t xml:space="preserve">There </w:t>
      </w:r>
      <w:proofErr w:type="gramStart"/>
      <w:r>
        <w:t>is</w:t>
      </w:r>
      <w:proofErr w:type="gramEnd"/>
      <w:r>
        <w:t xml:space="preserve"> some studies done by SA1 (</w:t>
      </w:r>
      <w:proofErr w:type="spellStart"/>
      <w:r>
        <w:t>e.g</w:t>
      </w:r>
      <w:proofErr w:type="spellEnd"/>
      <w:r>
        <w:t>, from TS 22.842) that certain PER value are needed to achieve a better immersive user experience: Meta believes that these values need to be supported for non-GBR 5QI as well because different application requires different type of bearer (GBR vs. non GBR):</w:t>
      </w:r>
    </w:p>
    <w:tbl>
      <w:tblPr>
        <w:tblStyle w:val="a9"/>
        <w:tblW w:w="99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6"/>
      </w:tblGrid>
      <w:tr w:rsidR="00A41745" w14:paraId="05CA23AD" w14:textId="77777777">
        <w:tc>
          <w:tcPr>
            <w:tcW w:w="9936" w:type="dxa"/>
          </w:tcPr>
          <w:p w14:paraId="4EC1235F" w14:textId="77777777" w:rsidR="00A41745" w:rsidRDefault="00000000">
            <w:pPr>
              <w:numPr>
                <w:ilvl w:val="0"/>
                <w:numId w:val="1"/>
              </w:numPr>
              <w:ind w:left="0" w:hanging="2"/>
            </w:pPr>
            <w:r>
              <w:t xml:space="preserve">[P.R.5.3-003] The 5G system shall support packet loss rate less than 10E-4 </w:t>
            </w:r>
            <w:proofErr w:type="gramStart"/>
            <w:r>
              <w:t>in order to</w:t>
            </w:r>
            <w:proofErr w:type="gramEnd"/>
            <w:r>
              <w:t xml:space="preserve"> achieve immersive user experiences for cloud gaming for uplink.</w:t>
            </w:r>
          </w:p>
          <w:p w14:paraId="6276E207" w14:textId="77777777" w:rsidR="00A41745" w:rsidRDefault="00000000">
            <w:pPr>
              <w:numPr>
                <w:ilvl w:val="0"/>
                <w:numId w:val="1"/>
              </w:numPr>
              <w:ind w:left="0" w:hanging="2"/>
            </w:pPr>
            <w:r>
              <w:lastRenderedPageBreak/>
              <w:t xml:space="preserve">[P.R.5.3-004] The 5G system shall support packet loss rate less than 10E-3 </w:t>
            </w:r>
            <w:proofErr w:type="gramStart"/>
            <w:r>
              <w:t>in order to</w:t>
            </w:r>
            <w:proofErr w:type="gramEnd"/>
            <w:r>
              <w:t xml:space="preserve"> achieve immersive user experiences for cloud gaming for downlink.</w:t>
            </w:r>
          </w:p>
        </w:tc>
      </w:tr>
    </w:tbl>
    <w:p w14:paraId="36C7645D" w14:textId="77777777" w:rsidR="00A41745" w:rsidRDefault="00A41745">
      <w:pPr>
        <w:ind w:left="0" w:hanging="2"/>
      </w:pPr>
    </w:p>
    <w:p w14:paraId="1A620653" w14:textId="77777777" w:rsidR="00A41745" w:rsidRDefault="00000000">
      <w:pPr>
        <w:ind w:left="0" w:hanging="2"/>
      </w:pPr>
      <w:r>
        <w:rPr>
          <w:b/>
        </w:rPr>
        <w:t>Observation 2</w:t>
      </w:r>
      <w:r>
        <w:t xml:space="preserve">: some of the PER required for </w:t>
      </w:r>
      <w:proofErr w:type="spellStart"/>
      <w:r>
        <w:t>xR</w:t>
      </w:r>
      <w:proofErr w:type="spellEnd"/>
      <w:r>
        <w:t xml:space="preserve"> application is not yet defined for the standardized 5Qi.</w:t>
      </w:r>
    </w:p>
    <w:p w14:paraId="3D995D05" w14:textId="77777777" w:rsidR="00A41745" w:rsidRDefault="00A41745">
      <w:pPr>
        <w:ind w:left="0" w:hanging="2"/>
      </w:pPr>
    </w:p>
    <w:sectPr w:rsidR="00A41745">
      <w:pgSz w:w="11906" w:h="16838"/>
      <w:pgMar w:top="1079" w:right="1106" w:bottom="1440" w:left="108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AF3603"/>
    <w:multiLevelType w:val="multilevel"/>
    <w:tmpl w:val="A014A0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abstractNum w:abstractNumId="1" w15:restartNumberingAfterBreak="0">
    <w:nsid w:val="7124309A"/>
    <w:multiLevelType w:val="multilevel"/>
    <w:tmpl w:val="9ADE9D7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260796182">
    <w:abstractNumId w:val="1"/>
  </w:num>
  <w:num w:numId="2" w16cid:durableId="1633367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745"/>
    <w:rsid w:val="00A41745"/>
    <w:rsid w:val="00CA0F5A"/>
    <w:rsid w:val="00E874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14:docId w14:val="0B15E873"/>
  <w15:docId w15:val="{95B4969E-306F-BB43-AB98-9190D19B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TW" w:bidi="ar-SA"/>
      </w:rPr>
    </w:rPrDefault>
    <w:pPrDefault>
      <w:pPr>
        <w:spacing w:after="18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autoSpaceDN w:val="0"/>
      <w:adjustRightInd w:val="0"/>
      <w:spacing w:line="1" w:lineRule="atLeast"/>
      <w:ind w:leftChars="-1" w:left="-1" w:hangingChars="1"/>
      <w:textDirection w:val="btLr"/>
      <w:textAlignment w:val="baseline"/>
      <w:outlineLvl w:val="0"/>
    </w:pPr>
    <w:rPr>
      <w:position w:val="-1"/>
      <w:lang w:eastAsia="en-GB"/>
    </w:rPr>
  </w:style>
  <w:style w:type="paragraph" w:styleId="Heading1">
    <w:name w:val="heading 1"/>
    <w:next w:val="Normal"/>
    <w:uiPriority w:val="9"/>
    <w:qFormat/>
    <w:pPr>
      <w:keepNext/>
      <w:keepLines/>
      <w:pBdr>
        <w:top w:val="single" w:sz="12" w:space="3" w:color="auto"/>
      </w:pBdr>
      <w:suppressAutoHyphens/>
      <w:overflowPunct w:val="0"/>
      <w:autoSpaceDE w:val="0"/>
      <w:autoSpaceDN w:val="0"/>
      <w:adjustRightInd w:val="0"/>
      <w:spacing w:before="240" w:line="1" w:lineRule="atLeast"/>
      <w:ind w:leftChars="-1" w:left="1134" w:hangingChars="1" w:hanging="1134"/>
      <w:textDirection w:val="btLr"/>
      <w:textAlignment w:val="baseline"/>
      <w:outlineLvl w:val="0"/>
    </w:pPr>
    <w:rPr>
      <w:rFonts w:ascii="Arial" w:hAnsi="Arial"/>
      <w:position w:val="-1"/>
      <w:sz w:val="36"/>
      <w:lang w:eastAsia="en-GB"/>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DefaultParagraphFont1">
    <w:name w:val="Default Paragraph Font1"/>
    <w:aliases w:val="Char Char"/>
    <w:rPr>
      <w:w w:val="100"/>
      <w:position w:val="-1"/>
      <w:effect w:val="none"/>
      <w:vertAlign w:val="baseline"/>
      <w:cs w:val="0"/>
      <w:em w:val="none"/>
    </w:rPr>
  </w:style>
  <w:style w:type="paragraph" w:customStyle="1" w:styleId="a">
    <w:basedOn w:val="Normal"/>
    <w:pPr>
      <w:spacing w:after="160" w:line="240" w:lineRule="atLeast"/>
    </w:pPr>
    <w:rPr>
      <w:rFonts w:ascii="Arial" w:eastAsia="SimSun" w:hAnsi="Arial"/>
      <w:szCs w:val="22"/>
      <w:lang w:val="en-US" w:eastAsia="en-US"/>
    </w:rPr>
  </w:style>
  <w:style w:type="character" w:customStyle="1" w:styleId="Heading1Char">
    <w:name w:val="Heading 1 Char"/>
    <w:rPr>
      <w:rFonts w:ascii="Arial" w:eastAsia="Times New Roman" w:hAnsi="Arial"/>
      <w:w w:val="100"/>
      <w:position w:val="-1"/>
      <w:sz w:val="36"/>
      <w:effect w:val="none"/>
      <w:vertAlign w:val="baseline"/>
      <w:cs w:val="0"/>
      <w:em w:val="none"/>
    </w:rPr>
  </w:style>
  <w:style w:type="character" w:customStyle="1" w:styleId="Heading2Char">
    <w:name w:val="Heading 2 Char"/>
    <w:rPr>
      <w:rFonts w:ascii="Arial" w:eastAsia="Times New Roman" w:hAnsi="Arial"/>
      <w:w w:val="100"/>
      <w:position w:val="-1"/>
      <w:sz w:val="32"/>
      <w:effect w:val="none"/>
      <w:vertAlign w:val="baseline"/>
      <w:cs w:val="0"/>
      <w:em w:val="none"/>
    </w:rPr>
  </w:style>
  <w:style w:type="character" w:customStyle="1" w:styleId="Heading3Char">
    <w:name w:val="Heading 3 Char"/>
    <w:rPr>
      <w:rFonts w:ascii="Arial" w:eastAsia="Times New Roman" w:hAnsi="Arial"/>
      <w:w w:val="100"/>
      <w:position w:val="-1"/>
      <w:sz w:val="28"/>
      <w:effect w:val="none"/>
      <w:vertAlign w:val="baseline"/>
      <w:cs w:val="0"/>
      <w:em w:val="none"/>
    </w:rPr>
  </w:style>
  <w:style w:type="character" w:customStyle="1" w:styleId="Heading4Char">
    <w:name w:val="Heading 4 Char"/>
    <w:rPr>
      <w:rFonts w:ascii="Arial" w:eastAsia="Times New Roman" w:hAnsi="Arial"/>
      <w:w w:val="100"/>
      <w:position w:val="-1"/>
      <w:sz w:val="24"/>
      <w:effect w:val="none"/>
      <w:vertAlign w:val="baseline"/>
      <w:cs w:val="0"/>
      <w:em w:val="none"/>
    </w:rPr>
  </w:style>
  <w:style w:type="character" w:customStyle="1" w:styleId="Heading5Char">
    <w:name w:val="Heading 5 Char"/>
    <w:rPr>
      <w:rFonts w:ascii="Arial" w:eastAsia="Times New Roman" w:hAnsi="Arial"/>
      <w:w w:val="100"/>
      <w:position w:val="-1"/>
      <w:sz w:val="22"/>
      <w:effect w:val="none"/>
      <w:vertAlign w:val="baseline"/>
      <w:cs w:val="0"/>
      <w:em w:val="none"/>
    </w:rPr>
  </w:style>
  <w:style w:type="character" w:customStyle="1" w:styleId="Heading6Char">
    <w:name w:val="Heading 6 Char"/>
    <w:rPr>
      <w:rFonts w:ascii="Arial" w:eastAsia="Times New Roman" w:hAnsi="Arial"/>
      <w:w w:val="100"/>
      <w:position w:val="-1"/>
      <w:effect w:val="none"/>
      <w:vertAlign w:val="baseline"/>
      <w:cs w:val="0"/>
      <w:em w:val="none"/>
    </w:rPr>
  </w:style>
  <w:style w:type="character" w:customStyle="1" w:styleId="Heading7Char">
    <w:name w:val="Heading 7 Char"/>
    <w:rPr>
      <w:rFonts w:ascii="Arial" w:eastAsia="Times New Roman" w:hAnsi="Arial"/>
      <w:w w:val="100"/>
      <w:position w:val="-1"/>
      <w:effect w:val="none"/>
      <w:vertAlign w:val="baseline"/>
      <w:cs w:val="0"/>
      <w:em w:val="none"/>
    </w:rPr>
  </w:style>
  <w:style w:type="character" w:customStyle="1" w:styleId="Heading8Char">
    <w:name w:val="Heading 8 Char"/>
    <w:rPr>
      <w:rFonts w:ascii="Arial" w:eastAsia="Times New Roman" w:hAnsi="Arial"/>
      <w:w w:val="100"/>
      <w:position w:val="-1"/>
      <w:sz w:val="36"/>
      <w:effect w:val="none"/>
      <w:vertAlign w:val="baseline"/>
      <w:cs w:val="0"/>
      <w:em w:val="none"/>
    </w:rPr>
  </w:style>
  <w:style w:type="character" w:customStyle="1" w:styleId="Heading9Char">
    <w:name w:val="Heading 9 Char"/>
    <w:rPr>
      <w:rFonts w:ascii="Arial" w:eastAsia="Times New Roman" w:hAnsi="Arial"/>
      <w:w w:val="100"/>
      <w:position w:val="-1"/>
      <w:sz w:val="36"/>
      <w:effect w:val="none"/>
      <w:vertAlign w:val="baseline"/>
      <w:cs w:val="0"/>
      <w:em w:val="none"/>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customStyle="1" w:styleId="ZT">
    <w:name w:val="ZT"/>
    <w:pPr>
      <w:framePr w:wrap="notBeside" w:vAnchor="page" w:hAnchor="margin" w:yAlign="center"/>
      <w:widowControl w:val="0"/>
      <w:suppressAutoHyphens/>
      <w:overflowPunct w:val="0"/>
      <w:autoSpaceDE w:val="0"/>
      <w:autoSpaceDN w:val="0"/>
      <w:adjustRightInd w:val="0"/>
      <w:spacing w:line="240" w:lineRule="atLeast"/>
      <w:ind w:leftChars="-1" w:left="-1" w:hangingChars="1"/>
      <w:jc w:val="right"/>
      <w:textDirection w:val="btLr"/>
      <w:textAlignment w:val="baseline"/>
      <w:outlineLvl w:val="0"/>
    </w:pPr>
    <w:rPr>
      <w:rFonts w:ascii="Arial" w:hAnsi="Arial"/>
      <w:b/>
      <w:position w:val="-1"/>
      <w:sz w:val="34"/>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overflowPunct w:val="0"/>
      <w:autoSpaceDE w:val="0"/>
      <w:autoSpaceDN w:val="0"/>
      <w:adjustRightInd w:val="0"/>
      <w:spacing w:line="1" w:lineRule="atLeast"/>
      <w:ind w:leftChars="-1" w:left="-1" w:hangingChars="1"/>
      <w:textDirection w:val="btLr"/>
      <w:textAlignment w:val="baseline"/>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2"/>
      </w:numPr>
      <w:ind w:left="851"/>
    </w:pPr>
  </w:style>
  <w:style w:type="paragraph" w:styleId="Header">
    <w:name w:val="header"/>
    <w:pPr>
      <w:widowControl w:val="0"/>
      <w:suppressAutoHyphens/>
      <w:overflowPunct w:val="0"/>
      <w:autoSpaceDE w:val="0"/>
      <w:autoSpaceDN w:val="0"/>
      <w:adjustRightInd w:val="0"/>
      <w:spacing w:line="1" w:lineRule="atLeast"/>
      <w:ind w:leftChars="-1" w:left="-1" w:hangingChars="1"/>
      <w:textDirection w:val="btLr"/>
      <w:textAlignment w:val="baseline"/>
      <w:outlineLvl w:val="0"/>
    </w:pPr>
    <w:rPr>
      <w:rFonts w:ascii="Arial" w:hAnsi="Arial"/>
      <w:b/>
      <w:noProof/>
      <w:position w:val="-1"/>
      <w:sz w:val="18"/>
    </w:rPr>
  </w:style>
  <w:style w:type="character" w:customStyle="1" w:styleId="HeaderChar">
    <w:name w:val="Header Char"/>
    <w:rPr>
      <w:rFonts w:ascii="Arial" w:eastAsia="Times New Roman" w:hAnsi="Arial"/>
      <w:b/>
      <w:noProof/>
      <w:w w:val="100"/>
      <w:position w:val="-1"/>
      <w:sz w:val="18"/>
      <w:effect w:val="none"/>
      <w:vertAlign w:val="baseline"/>
      <w:cs w:val="0"/>
      <w:em w:val="none"/>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character" w:customStyle="1" w:styleId="FootnoteTextChar">
    <w:name w:val="Footnote Text Char"/>
    <w:rPr>
      <w:w w:val="100"/>
      <w:position w:val="-1"/>
      <w:sz w:val="16"/>
      <w:effect w:val="none"/>
      <w:vertAlign w:val="baseline"/>
      <w:cs w:val="0"/>
      <w:em w:val="none"/>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autoSpaceDN w:val="0"/>
      <w:adjustRightInd w:val="0"/>
      <w:spacing w:line="180" w:lineRule="atLeast"/>
      <w:ind w:leftChars="-1" w:left="-1" w:hangingChars="1"/>
      <w:textDirection w:val="btLr"/>
      <w:textAlignment w:val="baseline"/>
      <w:outlineLvl w:val="0"/>
    </w:pPr>
    <w:rPr>
      <w:rFonts w:ascii="Courier New" w:hAnsi="Courier New"/>
      <w:noProof/>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pPr>
      <w:tabs>
        <w:tab w:val="num" w:pos="360"/>
      </w:tabs>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wrap="notBeside" w:hAnchor="margin" w:y="1135"/>
      <w:widowControl w:val="0"/>
      <w:pBdr>
        <w:bottom w:val="single" w:sz="12" w:space="1" w:color="auto"/>
      </w:pBdr>
      <w:suppressAutoHyphens/>
      <w:overflowPunct w:val="0"/>
      <w:autoSpaceDE w:val="0"/>
      <w:autoSpaceDN w:val="0"/>
      <w:adjustRightInd w:val="0"/>
      <w:spacing w:line="1" w:lineRule="atLeast"/>
      <w:ind w:leftChars="-1" w:left="-1" w:hangingChars="1"/>
      <w:jc w:val="right"/>
      <w:textDirection w:val="btLr"/>
      <w:textAlignment w:val="baseline"/>
      <w:outlineLvl w:val="0"/>
    </w:pPr>
    <w:rPr>
      <w:rFonts w:ascii="Arial" w:hAnsi="Arial"/>
      <w:noProof/>
      <w:position w:val="-1"/>
      <w:sz w:val="40"/>
    </w:rPr>
  </w:style>
  <w:style w:type="paragraph" w:customStyle="1" w:styleId="ZB">
    <w:name w:val="ZB"/>
    <w:pPr>
      <w:framePr w:w="10206" w:wrap="notBeside" w:hAnchor="margin" w:y="1986"/>
      <w:widowControl w:val="0"/>
      <w:suppressAutoHyphens/>
      <w:overflowPunct w:val="0"/>
      <w:autoSpaceDE w:val="0"/>
      <w:autoSpaceDN w:val="0"/>
      <w:adjustRightInd w:val="0"/>
      <w:spacing w:line="1" w:lineRule="atLeast"/>
      <w:ind w:leftChars="-1" w:left="-1" w:right="28" w:hangingChars="1"/>
      <w:jc w:val="right"/>
      <w:textDirection w:val="btLr"/>
      <w:textAlignment w:val="baseline"/>
      <w:outlineLvl w:val="0"/>
    </w:pPr>
    <w:rPr>
      <w:rFonts w:ascii="Arial" w:hAnsi="Arial"/>
      <w:i/>
      <w:noProof/>
      <w:position w:val="-1"/>
    </w:rPr>
  </w:style>
  <w:style w:type="paragraph" w:customStyle="1" w:styleId="ZD">
    <w:name w:val="ZD"/>
    <w:pPr>
      <w:framePr w:wrap="notBeside" w:hAnchor="margin" w:y="15764"/>
      <w:widowControl w:val="0"/>
      <w:suppressAutoHyphens/>
      <w:overflowPunct w:val="0"/>
      <w:autoSpaceDE w:val="0"/>
      <w:autoSpaceDN w:val="0"/>
      <w:adjustRightInd w:val="0"/>
      <w:spacing w:line="1" w:lineRule="atLeast"/>
      <w:ind w:leftChars="-1" w:left="-1" w:hangingChars="1"/>
      <w:textDirection w:val="btLr"/>
      <w:textAlignment w:val="baseline"/>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overflowPunct w:val="0"/>
      <w:autoSpaceDE w:val="0"/>
      <w:autoSpaceDN w:val="0"/>
      <w:adjustRightInd w:val="0"/>
      <w:spacing w:line="1" w:lineRule="atLeast"/>
      <w:ind w:leftChars="-1" w:left="-1" w:hangingChars="1"/>
      <w:jc w:val="right"/>
      <w:textDirection w:val="btLr"/>
      <w:textAlignment w:val="baseline"/>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overflowPunct w:val="0"/>
      <w:autoSpaceDE w:val="0"/>
      <w:autoSpaceDN w:val="0"/>
      <w:adjustRightInd w:val="0"/>
      <w:spacing w:line="1" w:lineRule="atLeast"/>
      <w:ind w:leftChars="-1" w:left="-1" w:hangingChars="1"/>
      <w:jc w:val="right"/>
      <w:textDirection w:val="btLr"/>
      <w:textAlignment w:val="baseline"/>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pPr>
      <w:tabs>
        <w:tab w:val="num" w:pos="360"/>
      </w:tabs>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character" w:customStyle="1" w:styleId="FooterChar">
    <w:name w:val="Footer Char"/>
    <w:rPr>
      <w:rFonts w:ascii="Arial" w:eastAsia="Times New Roman" w:hAnsi="Arial"/>
      <w:b/>
      <w:i/>
      <w:noProof/>
      <w:w w:val="100"/>
      <w:position w:val="-1"/>
      <w:sz w:val="18"/>
      <w:effect w:val="none"/>
      <w:vertAlign w:val="baseline"/>
      <w:cs w:val="0"/>
      <w:em w:val="none"/>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textDirection w:val="btLr"/>
      <w:textAlignment w:val="top"/>
      <w:outlineLvl w:val="0"/>
    </w:pPr>
    <w:rPr>
      <w:rFonts w:ascii="Arial" w:hAnsi="Arial"/>
      <w:position w:val="-1"/>
      <w:lang w:eastAsia="en-US"/>
    </w:rPr>
  </w:style>
  <w:style w:type="paragraph" w:styleId="ListParagraph">
    <w:name w:val="List Paragraph"/>
    <w:basedOn w:val="Normal"/>
    <w:pPr>
      <w:ind w:left="720"/>
      <w:contextualSpacing/>
    </w:pPr>
  </w:style>
  <w:style w:type="paragraph" w:styleId="Revision">
    <w:name w:val="Revision"/>
    <w:pPr>
      <w:suppressAutoHyphens/>
      <w:spacing w:line="1" w:lineRule="atLeast"/>
      <w:ind w:leftChars="-1" w:left="-1" w:hangingChars="1"/>
      <w:textDirection w:val="btLr"/>
      <w:textAlignment w:val="top"/>
      <w:outlineLvl w:val="0"/>
    </w:pPr>
    <w:rPr>
      <w:position w:val="-1"/>
      <w:lang w:eastAsia="en-GB"/>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style>
  <w:style w:type="character" w:customStyle="1" w:styleId="CommentTextChar">
    <w:name w:val="Comment Text Char"/>
    <w:rPr>
      <w:w w:val="100"/>
      <w:position w:val="-1"/>
      <w:effect w:val="none"/>
      <w:vertAlign w:val="baseline"/>
      <w:cs w:val="0"/>
      <w:em w:val="none"/>
      <w:lang w:val="en-GB" w:eastAsia="en-GB"/>
    </w:rPr>
  </w:style>
  <w:style w:type="paragraph" w:styleId="CommentSubject">
    <w:name w:val="annotation subject"/>
    <w:basedOn w:val="CommentText"/>
    <w:next w:val="CommentText"/>
    <w:rPr>
      <w:b/>
      <w:bCs/>
    </w:rPr>
  </w:style>
  <w:style w:type="character" w:customStyle="1" w:styleId="CommentSubjectChar">
    <w:name w:val="Comment Subject Char"/>
    <w:rPr>
      <w:b/>
      <w:bCs/>
      <w:w w:val="100"/>
      <w:position w:val="-1"/>
      <w:effect w:val="none"/>
      <w:vertAlign w:val="baseline"/>
      <w:cs w:val="0"/>
      <w:em w:val="none"/>
      <w:lang w:val="en-GB" w:eastAsia="en-GB"/>
    </w:rPr>
  </w:style>
  <w:style w:type="character" w:customStyle="1" w:styleId="B1Char">
    <w:name w:val="B1 Char"/>
    <w:rPr>
      <w:w w:val="100"/>
      <w:position w:val="-1"/>
      <w:effect w:val="none"/>
      <w:vertAlign w:val="baseline"/>
      <w:cs w:val="0"/>
      <w:em w:val="none"/>
      <w:lang w:val="en-GB" w:eastAsia="en-GB"/>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Pr>
      <w:rFonts w:ascii="Arial" w:eastAsia="Times New Roman" w:hAnsi="Arial"/>
      <w:w w:val="100"/>
      <w:position w:val="-1"/>
      <w:sz w:val="18"/>
      <w:effect w:val="none"/>
      <w:vertAlign w:val="baseline"/>
      <w:cs w:val="0"/>
      <w:em w:val="none"/>
      <w:lang w:val="en-GB" w:eastAsia="en-GB"/>
    </w:rPr>
  </w:style>
  <w:style w:type="character" w:customStyle="1" w:styleId="THChar">
    <w:name w:val="TH Char"/>
    <w:rPr>
      <w:rFonts w:ascii="Arial" w:eastAsia="Times New Roman" w:hAnsi="Arial"/>
      <w:b/>
      <w:w w:val="100"/>
      <w:position w:val="-1"/>
      <w:effect w:val="none"/>
      <w:vertAlign w:val="baseline"/>
      <w:cs w:val="0"/>
      <w:em w:val="none"/>
      <w:lang w:val="en-GB"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28" w:type="dxa"/>
        <w:right w:w="28"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character" w:customStyle="1" w:styleId="NOZchn">
    <w:name w:val="NO Zchn"/>
    <w:link w:val="NO"/>
    <w:rsid w:val="00E04073"/>
    <w:rPr>
      <w:position w:val="-1"/>
      <w:lang w:val="en-GB" w:eastAsia="en-GB"/>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2jsuWJOcdpFKR+0UrkagqNnjJTw==">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955</Words>
  <Characters>5444</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Curt Wong</cp:lastModifiedBy>
  <cp:revision>2</cp:revision>
  <dcterms:created xsi:type="dcterms:W3CDTF">2023-02-10T17:18:00Z</dcterms:created>
  <dcterms:modified xsi:type="dcterms:W3CDTF">2023-02-10T17:18:00Z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 ref.">
    <vt:lpwstr/>
  </property>
  <property fmtid="{D5CDD505-2E9C-101B-9397-08002B2CF9AE}" pid="3" name="Standard subgroup">
    <vt:lpwstr/>
  </property>
  <property fmtid="{D5CDD505-2E9C-101B-9397-08002B2CF9AE}" pid="4" name="Meeting date">
    <vt:lpwstr/>
  </property>
  <property fmtid="{D5CDD505-2E9C-101B-9397-08002B2CF9AE}" pid="5" name="IconOverlay">
    <vt:lpwstr/>
  </property>
</Properties>
</file>